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3722C" w14:textId="406E4586" w:rsidR="007E07F8" w:rsidRPr="00160BCC" w:rsidRDefault="007E07F8" w:rsidP="007E07F8">
      <w:pPr>
        <w:jc w:val="center"/>
        <w:rPr>
          <w:b/>
          <w:bCs/>
          <w:sz w:val="32"/>
          <w:szCs w:val="32"/>
        </w:rPr>
      </w:pPr>
      <w:r w:rsidRPr="00160BCC">
        <w:rPr>
          <w:b/>
          <w:bCs/>
          <w:sz w:val="32"/>
          <w:szCs w:val="32"/>
        </w:rPr>
        <w:t xml:space="preserve">MESAS DE LA FACULTAD DE </w:t>
      </w:r>
      <w:r w:rsidR="008E7BD4">
        <w:rPr>
          <w:b/>
          <w:bCs/>
          <w:sz w:val="32"/>
          <w:szCs w:val="32"/>
        </w:rPr>
        <w:t>CIENCIAS DE LA SALUD</w:t>
      </w:r>
    </w:p>
    <w:p w14:paraId="71221309" w14:textId="052DD5AB" w:rsidR="007E07F8" w:rsidRDefault="008E7BD4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>
        <w:rPr>
          <w:b/>
          <w:bCs/>
        </w:rPr>
        <w:t>Enfermedades transmisibles y no transmisibles</w:t>
      </w:r>
      <w:r w:rsidR="007E07F8" w:rsidRPr="00962F48">
        <w:rPr>
          <w:b/>
          <w:bCs/>
        </w:rPr>
        <w:t xml:space="preserve">: </w:t>
      </w:r>
      <w:r w:rsidRPr="008E7BD4">
        <w:t>La mesa de trabajo de Enfermedades Transmisibles y No Transmisibles es un foro especializado dedicado a la investigación, discusión y elaboración de estrategias para el manejo y prevención de enfermedades que afectan la salud pública. Reúne a expertos en medicina, epidemiología, salud pública y otras disciplinas afines para abordar temas críticos relacionados con enfermedades infecciosas como VIH/SIDA, tuberculosis y COVID-19, así como enfermedades crónicas no transmisibles como diabetes, hipertensión y cáncer. Esta mesa de trabajo promueve la colaboración interdisciplinaria y la creación de políticas efectivas. Además, colabora activamente en la redacción y revisión de capítulos de libros académicos y científicos, aportando conocimientos actualizados y basados en evidencia para la formación de profesionales de la salud y la implementación de programas de salud pública</w:t>
      </w:r>
      <w:r w:rsidR="007E07F8" w:rsidRPr="002375F3">
        <w:t>.</w:t>
      </w:r>
    </w:p>
    <w:p w14:paraId="0B03ACD6" w14:textId="77777777" w:rsidR="00634520" w:rsidRDefault="00634520" w:rsidP="008E7BD4">
      <w:pPr>
        <w:spacing w:after="240" w:line="276" w:lineRule="auto"/>
        <w:ind w:left="284"/>
        <w:jc w:val="both"/>
        <w:sectPr w:rsidR="00634520" w:rsidSect="00E90339">
          <w:headerReference w:type="default" r:id="rId7"/>
          <w:pgSz w:w="11900" w:h="16840"/>
          <w:pgMar w:top="2873" w:right="1701" w:bottom="1361" w:left="1701" w:header="708" w:footer="708" w:gutter="0"/>
          <w:cols w:space="708"/>
          <w:docGrid w:linePitch="360"/>
        </w:sectPr>
      </w:pPr>
    </w:p>
    <w:p w14:paraId="63E0416A" w14:textId="17F9858F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Anestesiología</w:t>
      </w:r>
    </w:p>
    <w:p w14:paraId="32AABB32" w14:textId="5A856D0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Cardiología</w:t>
      </w:r>
    </w:p>
    <w:p w14:paraId="4CA5E52D" w14:textId="4BB49A95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Cirugía</w:t>
      </w:r>
    </w:p>
    <w:p w14:paraId="5F13B116" w14:textId="6A9B1553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Dermatología</w:t>
      </w:r>
    </w:p>
    <w:p w14:paraId="19A76DA2" w14:textId="5A8E1121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Endocrinología</w:t>
      </w:r>
    </w:p>
    <w:p w14:paraId="0940FBCB" w14:textId="1734021F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Gastroenterología</w:t>
      </w:r>
    </w:p>
    <w:p w14:paraId="61F5BAA7" w14:textId="41421EA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Gineco obstetricia</w:t>
      </w:r>
    </w:p>
    <w:p w14:paraId="2B0693A0" w14:textId="7777777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Hematología</w:t>
      </w:r>
      <w:r>
        <w:tab/>
      </w:r>
    </w:p>
    <w:p w14:paraId="3EFF429E" w14:textId="209EB9C5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Infectología</w:t>
      </w:r>
    </w:p>
    <w:p w14:paraId="0B9DF1EE" w14:textId="7E43A819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Imagenología</w:t>
      </w:r>
    </w:p>
    <w:p w14:paraId="33DB9B36" w14:textId="0494C544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Medicina Familiar</w:t>
      </w:r>
    </w:p>
    <w:p w14:paraId="0B4D3AD3" w14:textId="5A6070AF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Medicina física y rehabilitación</w:t>
      </w:r>
    </w:p>
    <w:p w14:paraId="3AD154DF" w14:textId="40CFBF25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Medicina Intensiva</w:t>
      </w:r>
    </w:p>
    <w:p w14:paraId="3EFA3ECA" w14:textId="7CE4B28C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Medicina Interna</w:t>
      </w:r>
    </w:p>
    <w:p w14:paraId="54413163" w14:textId="6CA2A955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Nefrología</w:t>
      </w:r>
    </w:p>
    <w:p w14:paraId="6965476D" w14:textId="3747011D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Neumología</w:t>
      </w:r>
    </w:p>
    <w:p w14:paraId="4B61ACAD" w14:textId="0E7FB058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Neurología</w:t>
      </w:r>
    </w:p>
    <w:p w14:paraId="7D2A3618" w14:textId="7777777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Neurocirugía</w:t>
      </w:r>
      <w:r>
        <w:tab/>
      </w:r>
    </w:p>
    <w:p w14:paraId="22595B6F" w14:textId="4417BAB0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Oftalmología</w:t>
      </w:r>
    </w:p>
    <w:p w14:paraId="251C3A65" w14:textId="0B1B6B3F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Oncología</w:t>
      </w:r>
    </w:p>
    <w:p w14:paraId="5AF4717C" w14:textId="063AA183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Otorrinolaringología</w:t>
      </w:r>
    </w:p>
    <w:p w14:paraId="501C6713" w14:textId="113D063A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Patología</w:t>
      </w:r>
    </w:p>
    <w:p w14:paraId="7F162BDC" w14:textId="2F6D12A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Pediatría</w:t>
      </w:r>
    </w:p>
    <w:p w14:paraId="082BBED7" w14:textId="46B6DE6B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Psiquiatría</w:t>
      </w:r>
    </w:p>
    <w:p w14:paraId="11450657" w14:textId="7777777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Salud Escolar</w:t>
      </w:r>
      <w:r>
        <w:tab/>
      </w:r>
    </w:p>
    <w:p w14:paraId="2010EEFB" w14:textId="77777777" w:rsidR="008E7BD4" w:rsidRDefault="008E7BD4" w:rsidP="008E7BD4">
      <w:pPr>
        <w:spacing w:after="240" w:line="276" w:lineRule="auto"/>
        <w:ind w:left="284"/>
        <w:jc w:val="both"/>
      </w:pPr>
      <w:r>
        <w:t>•</w:t>
      </w:r>
      <w:r>
        <w:tab/>
        <w:t>Salud Ocupacional</w:t>
      </w:r>
      <w:r>
        <w:tab/>
      </w:r>
    </w:p>
    <w:p w14:paraId="270A554D" w14:textId="35153F44" w:rsidR="00634520" w:rsidRDefault="008E7BD4" w:rsidP="008E7BD4">
      <w:pPr>
        <w:spacing w:after="240" w:line="276" w:lineRule="auto"/>
        <w:ind w:left="284"/>
        <w:jc w:val="both"/>
        <w:sectPr w:rsidR="00634520" w:rsidSect="00634520">
          <w:type w:val="continuous"/>
          <w:pgSz w:w="11900" w:h="16840"/>
          <w:pgMar w:top="2873" w:right="1701" w:bottom="1361" w:left="1701" w:header="708" w:footer="708" w:gutter="0"/>
          <w:cols w:num="2" w:space="708"/>
          <w:docGrid w:linePitch="360"/>
        </w:sectPr>
      </w:pPr>
      <w:r>
        <w:t>•</w:t>
      </w:r>
      <w:r>
        <w:tab/>
        <w:t>Urologí</w:t>
      </w:r>
      <w:r w:rsidR="00634520">
        <w:t>a</w:t>
      </w:r>
    </w:p>
    <w:p w14:paraId="43413828" w14:textId="2D2030A8" w:rsidR="007E07F8" w:rsidRDefault="00634520" w:rsidP="00634520">
      <w:pPr>
        <w:pStyle w:val="ListParagraph"/>
        <w:numPr>
          <w:ilvl w:val="0"/>
          <w:numId w:val="1"/>
        </w:numPr>
        <w:spacing w:after="240" w:line="276" w:lineRule="auto"/>
        <w:jc w:val="both"/>
      </w:pPr>
      <w:r>
        <w:rPr>
          <w:b/>
          <w:bCs/>
        </w:rPr>
        <w:t>Abordaje multidisciplinar de la Salud</w:t>
      </w:r>
      <w:r w:rsidR="007E07F8" w:rsidRPr="0072205F">
        <w:t xml:space="preserve">: </w:t>
      </w:r>
      <w:r>
        <w:t xml:space="preserve">El abordaje multidisciplinario de la salud es un enfoque integral y colaborativo en el cuidado de los pacientes, que involucra la </w:t>
      </w:r>
      <w:r>
        <w:lastRenderedPageBreak/>
        <w:t>participación de diversos profesionales de la salud para proporcionar un tratamiento más completo y efectivo. Este enfoque reconoce que la salud es influenciada por múltiples factores, tanto biológicos como psicológicos y sociales, y busca abordar todas estas dimensiones de manera coordinada. El abordaje multidisciplinario de la salud representa un avance significativo en la atención médica, proporcionando una manera más holística y eficiente de tratar a los pacientes. Este enfoque no solo mejora los resultados de salud, sino que también promueve una mayor satisfacción y calidad de vida para los pacientes.</w:t>
      </w:r>
    </w:p>
    <w:p w14:paraId="6B1CD0CC" w14:textId="7EC0F88A" w:rsidR="00634520" w:rsidRDefault="00634520" w:rsidP="00634520">
      <w:pPr>
        <w:spacing w:after="240" w:line="276" w:lineRule="auto"/>
        <w:ind w:left="360"/>
        <w:jc w:val="both"/>
      </w:pPr>
      <w:r>
        <w:t>Avances en la investigación médica y la  comprensión de enfermedades</w:t>
      </w:r>
      <w:r>
        <w:tab/>
      </w:r>
    </w:p>
    <w:p w14:paraId="4B83010B" w14:textId="77777777" w:rsidR="00634520" w:rsidRDefault="00634520" w:rsidP="00634520">
      <w:pPr>
        <w:spacing w:after="240" w:line="276" w:lineRule="auto"/>
        <w:ind w:left="360"/>
        <w:jc w:val="both"/>
      </w:pPr>
      <w:r>
        <w:t>Prevención y promoción de la salud mental y física</w:t>
      </w:r>
      <w:r>
        <w:tab/>
      </w:r>
    </w:p>
    <w:p w14:paraId="7BCBE23A" w14:textId="77777777" w:rsidR="00634520" w:rsidRDefault="00634520" w:rsidP="00634520">
      <w:pPr>
        <w:spacing w:after="240" w:line="276" w:lineRule="auto"/>
        <w:ind w:left="360"/>
        <w:jc w:val="both"/>
      </w:pPr>
      <w:r>
        <w:t>Rehabilitación multidisciplinaria</w:t>
      </w:r>
      <w:r>
        <w:tab/>
      </w:r>
    </w:p>
    <w:p w14:paraId="57B2C61A" w14:textId="77777777" w:rsidR="00634520" w:rsidRDefault="00634520" w:rsidP="00634520">
      <w:pPr>
        <w:spacing w:after="240" w:line="276" w:lineRule="auto"/>
        <w:ind w:left="360"/>
        <w:jc w:val="both"/>
      </w:pPr>
      <w:r>
        <w:t>Conexión entre la salud bucal y las enfermedades</w:t>
      </w:r>
      <w:r>
        <w:tab/>
      </w:r>
    </w:p>
    <w:p w14:paraId="1D956653" w14:textId="4C0BAF2F" w:rsidR="00634520" w:rsidRDefault="00634520" w:rsidP="00634520">
      <w:pPr>
        <w:spacing w:after="240" w:line="276" w:lineRule="auto"/>
        <w:ind w:left="360"/>
        <w:jc w:val="both"/>
      </w:pPr>
      <w:r>
        <w:t>Coordinación de cuidados y educación del paciente</w:t>
      </w:r>
      <w:r>
        <w:tab/>
      </w:r>
    </w:p>
    <w:p w14:paraId="42F96A8C" w14:textId="77777777" w:rsidR="00634520" w:rsidRDefault="00634520" w:rsidP="00634520">
      <w:pPr>
        <w:spacing w:after="240" w:line="276" w:lineRule="auto"/>
        <w:jc w:val="both"/>
      </w:pPr>
    </w:p>
    <w:p w14:paraId="2DC5873E" w14:textId="21E7D363" w:rsidR="006A7D03" w:rsidRPr="00634520" w:rsidRDefault="00634520" w:rsidP="00634520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jc w:val="both"/>
        <w:rPr>
          <w:rFonts w:ascii="Arial" w:eastAsia="Arial" w:hAnsi="Arial" w:cs="Arial"/>
          <w:lang w:val="es"/>
        </w:rPr>
      </w:pPr>
      <w:r>
        <w:rPr>
          <w:b/>
          <w:bCs/>
        </w:rPr>
        <w:t>Diagnóstico clínico de las enfermedades infeccionasas y no infecciosas</w:t>
      </w:r>
      <w:r w:rsidR="007E07F8" w:rsidRPr="055F1D66">
        <w:rPr>
          <w:b/>
          <w:bCs/>
        </w:rPr>
        <w:t>:</w:t>
      </w:r>
      <w:r w:rsidR="007E07F8">
        <w:t xml:space="preserve"> </w:t>
      </w:r>
      <w:r w:rsidRPr="00634520">
        <w:t>La mesa de trabajo de Diagnóstico Clínico de Enfermedades Infecciosas y No Infecciosas es un espacio de encuentro para profesionales de la salud enfocados en mejorar las técnicas y estrategias de diagnóstico. Este grupo multidisciplinario incluye médicos, bioquímicos, microbiólogos y especialistas en diagnóstico, quienes trabajan en la identificación precisa y temprana de diversas patologías. Enfocada tanto en enfermedades infecciosas como bacterias, virus y hongos, como en enfermedades no infecciosas como trastornos autoinmunes y enfermedades crónicas, esta mesa busca optimizar protocolos diagnósticos y promover la innovación tecnológica. También colabora en la creación y revisión de capítulos de libros especializados, ofreciendo información actualizada y de alta calidad que respalda la educación continua y el desarrollo profesional en el campo del diagnóstico clínico</w:t>
      </w:r>
      <w:r w:rsidR="007E07F8">
        <w:rPr>
          <w:color w:val="0070C0"/>
        </w:rPr>
        <w:t>.</w:t>
      </w:r>
    </w:p>
    <w:sectPr w:rsidR="006A7D03" w:rsidRPr="00634520" w:rsidSect="00634520">
      <w:type w:val="continuous"/>
      <w:pgSz w:w="11900" w:h="16840"/>
      <w:pgMar w:top="2873" w:right="1701" w:bottom="136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69392" w14:textId="77777777" w:rsidR="003C3430" w:rsidRDefault="003C3430" w:rsidP="00E90339">
      <w:r>
        <w:separator/>
      </w:r>
    </w:p>
  </w:endnote>
  <w:endnote w:type="continuationSeparator" w:id="0">
    <w:p w14:paraId="5ACD981C" w14:textId="77777777" w:rsidR="003C3430" w:rsidRDefault="003C3430" w:rsidP="00E9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C24A" w14:textId="77777777" w:rsidR="003C3430" w:rsidRDefault="003C3430" w:rsidP="00E90339">
      <w:r>
        <w:separator/>
      </w:r>
    </w:p>
  </w:footnote>
  <w:footnote w:type="continuationSeparator" w:id="0">
    <w:p w14:paraId="0813BC12" w14:textId="77777777" w:rsidR="003C3430" w:rsidRDefault="003C3430" w:rsidP="00E90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875E" w14:textId="77777777" w:rsidR="00E90339" w:rsidRDefault="00E903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1B4035" wp14:editId="6C7B10EF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559675" cy="10685145"/>
          <wp:effectExtent l="0" t="0" r="0" b="0"/>
          <wp:wrapNone/>
          <wp:docPr id="5680636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63637" name="Imagen 5680636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E0E20"/>
    <w:multiLevelType w:val="hybridMultilevel"/>
    <w:tmpl w:val="50BEF1BE"/>
    <w:lvl w:ilvl="0" w:tplc="0284F21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97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39"/>
    <w:rsid w:val="00374024"/>
    <w:rsid w:val="003C3430"/>
    <w:rsid w:val="003E5AE4"/>
    <w:rsid w:val="00451C9B"/>
    <w:rsid w:val="00634520"/>
    <w:rsid w:val="006A7D03"/>
    <w:rsid w:val="007E07F8"/>
    <w:rsid w:val="008E7BD4"/>
    <w:rsid w:val="00A15F08"/>
    <w:rsid w:val="00A37E38"/>
    <w:rsid w:val="00AA5299"/>
    <w:rsid w:val="00B61D88"/>
    <w:rsid w:val="00D23EAF"/>
    <w:rsid w:val="00E90339"/>
    <w:rsid w:val="00F1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01E23"/>
  <w15:chartTrackingRefBased/>
  <w15:docId w15:val="{5535CE72-F08B-C346-BF61-3595059F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29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339"/>
  </w:style>
  <w:style w:type="paragraph" w:styleId="Footer">
    <w:name w:val="footer"/>
    <w:basedOn w:val="Normal"/>
    <w:link w:val="Foot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339"/>
  </w:style>
  <w:style w:type="paragraph" w:styleId="ListParagraph">
    <w:name w:val="List Paragraph"/>
    <w:basedOn w:val="Normal"/>
    <w:uiPriority w:val="34"/>
    <w:qFormat/>
    <w:rsid w:val="00AA5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Gcpi</dc:creator>
  <cp:keywords/>
  <dc:description/>
  <cp:lastModifiedBy>Cristian Paul Naranjo Navas</cp:lastModifiedBy>
  <cp:revision>4</cp:revision>
  <dcterms:created xsi:type="dcterms:W3CDTF">2024-06-11T15:24:00Z</dcterms:created>
  <dcterms:modified xsi:type="dcterms:W3CDTF">2024-06-11T15:31:00Z</dcterms:modified>
</cp:coreProperties>
</file>